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ind w:right="0" w:rightChars="0" w:firstLine="562" w:firstLineChars="200"/>
        <w:jc w:val="both"/>
        <w:textAlignment w:val="auto"/>
        <w:rPr>
          <w:rFonts w:hint="eastAsia" w:ascii="宋体" w:hAnsi="宋体" w:cs="宋体"/>
          <w:b/>
          <w:bCs/>
          <w:color w:val="333333"/>
          <w:sz w:val="28"/>
          <w:szCs w:val="28"/>
          <w:shd w:val="clear" w:color="auto" w:fill="FFFFFF"/>
          <w:lang w:val="en-US" w:eastAsia="zh-CN"/>
        </w:rPr>
      </w:pPr>
      <w:r>
        <w:rPr>
          <w:rFonts w:hint="eastAsia" w:ascii="宋体" w:hAnsi="宋体" w:cs="宋体"/>
          <w:b/>
          <w:bCs/>
          <w:color w:val="333333"/>
          <w:sz w:val="28"/>
          <w:szCs w:val="28"/>
          <w:shd w:val="clear" w:color="auto" w:fill="FFFFFF"/>
          <w:lang w:val="en-US" w:eastAsia="zh-CN"/>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b/>
          <w:bCs/>
          <w:i w:val="0"/>
          <w:caps w:val="0"/>
          <w:color w:val="auto"/>
          <w:spacing w:val="0"/>
          <w:sz w:val="36"/>
          <w:szCs w:val="36"/>
          <w:shd w:val="clear" w:fill="FFFFFF"/>
        </w:rPr>
      </w:pPr>
      <w:r>
        <w:rPr>
          <w:rFonts w:hint="eastAsia" w:asciiTheme="majorEastAsia" w:hAnsiTheme="majorEastAsia" w:eastAsiaTheme="majorEastAsia" w:cstheme="majorEastAsia"/>
          <w:b/>
          <w:bCs/>
          <w:i w:val="0"/>
          <w:caps w:val="0"/>
          <w:color w:val="auto"/>
          <w:spacing w:val="0"/>
          <w:sz w:val="36"/>
          <w:szCs w:val="36"/>
          <w:shd w:val="clear" w:fill="FFFFFF"/>
          <w:lang w:eastAsia="zh-CN"/>
        </w:rPr>
        <w:t>湄洲湾职业技术学院</w:t>
      </w:r>
      <w:r>
        <w:rPr>
          <w:rFonts w:hint="eastAsia" w:asciiTheme="majorEastAsia" w:hAnsiTheme="majorEastAsia" w:eastAsiaTheme="majorEastAsia" w:cstheme="majorEastAsia"/>
          <w:b/>
          <w:bCs/>
          <w:i w:val="0"/>
          <w:caps w:val="0"/>
          <w:color w:val="auto"/>
          <w:spacing w:val="0"/>
          <w:sz w:val="36"/>
          <w:szCs w:val="36"/>
          <w:shd w:val="clear" w:fill="FFFFFF"/>
        </w:rPr>
        <w:t>大学生创新创业竞赛奖励办法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asciiTheme="majorEastAsia" w:hAnsiTheme="majorEastAsia" w:eastAsiaTheme="majorEastAsia" w:cstheme="majorEastAsia"/>
          <w:b/>
          <w:bCs/>
          <w:i w:val="0"/>
          <w:caps w:val="0"/>
          <w:color w:val="auto"/>
          <w:spacing w:val="0"/>
          <w:sz w:val="36"/>
          <w:szCs w:val="36"/>
          <w:shd w:val="clear" w:fill="FFFFFF"/>
          <w:lang w:val="en-US" w:eastAsia="zh-CN"/>
        </w:rPr>
      </w:pPr>
      <w:r>
        <w:rPr>
          <w:rFonts w:hint="eastAsia" w:asciiTheme="majorEastAsia" w:hAnsiTheme="majorEastAsia" w:eastAsiaTheme="majorEastAsia" w:cstheme="majorEastAsia"/>
          <w:b/>
          <w:bCs/>
          <w:i w:val="0"/>
          <w:caps w:val="0"/>
          <w:color w:val="auto"/>
          <w:spacing w:val="0"/>
          <w:sz w:val="36"/>
          <w:szCs w:val="36"/>
          <w:shd w:val="clear" w:fill="FFFFFF"/>
          <w:lang w:val="en-US" w:eastAsia="zh-CN"/>
        </w:rPr>
        <w:t>（试行）</w:t>
      </w:r>
    </w:p>
    <w:p>
      <w:pPr>
        <w:ind w:firstLine="2560" w:firstLineChars="800"/>
        <w:rPr>
          <w:rFonts w:hint="eastAsia"/>
          <w:lang w:val="en-US" w:eastAsia="zh-CN"/>
        </w:rPr>
      </w:pPr>
      <w:r>
        <w:rPr>
          <w:rFonts w:hint="eastAsia" w:ascii="仿宋_GB2312" w:eastAsia="仿宋_GB2312"/>
          <w:color w:val="000000"/>
          <w:sz w:val="32"/>
          <w:szCs w:val="32"/>
        </w:rPr>
        <w:t>湄职院〔201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240" w:lineRule="auto"/>
        <w:ind w:left="0" w:leftChars="0" w:right="0" w:rightChars="0"/>
        <w:jc w:val="center"/>
        <w:textAlignment w:val="auto"/>
        <w:rPr>
          <w:rFonts w:hint="eastAsia" w:ascii="仿宋" w:hAnsi="仿宋" w:eastAsia="仿宋" w:cs="仿宋"/>
          <w:b/>
          <w:bCs/>
          <w:color w:val="auto"/>
          <w:sz w:val="32"/>
          <w:szCs w:val="32"/>
        </w:rPr>
      </w:pPr>
      <w:r>
        <w:rPr>
          <w:rFonts w:hint="eastAsia" w:asciiTheme="majorEastAsia" w:hAnsiTheme="majorEastAsia" w:eastAsiaTheme="majorEastAsia" w:cstheme="majorEastAsia"/>
          <w:b/>
          <w:bCs/>
          <w:i w:val="0"/>
          <w:caps w:val="0"/>
          <w:color w:val="auto"/>
          <w:spacing w:val="0"/>
          <w:sz w:val="32"/>
          <w:szCs w:val="32"/>
          <w:shd w:val="clear" w:fill="FFFFFF"/>
        </w:rPr>
        <w:t xml:space="preserve"> </w:t>
      </w:r>
      <w:r>
        <w:rPr>
          <w:rFonts w:hint="eastAsia" w:ascii="仿宋" w:hAnsi="仿宋" w:eastAsia="仿宋" w:cs="仿宋"/>
          <w:b/>
          <w:bCs/>
          <w:i w:val="0"/>
          <w:caps w:val="0"/>
          <w:color w:val="auto"/>
          <w:spacing w:val="0"/>
          <w:kern w:val="0"/>
          <w:sz w:val="32"/>
          <w:szCs w:val="32"/>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i w:val="0"/>
          <w:caps w:val="0"/>
          <w:color w:val="auto"/>
          <w:spacing w:val="0"/>
          <w:kern w:val="0"/>
          <w:sz w:val="32"/>
          <w:szCs w:val="32"/>
          <w:shd w:val="clear" w:fill="FFFFFF"/>
          <w:lang w:val="en-US" w:eastAsia="zh-CN" w:bidi="ar"/>
        </w:rPr>
        <w:t>第一条</w:t>
      </w:r>
      <w:r>
        <w:rPr>
          <w:rFonts w:hint="eastAsia" w:ascii="仿宋" w:hAnsi="仿宋" w:eastAsia="仿宋" w:cs="仿宋"/>
          <w:b w:val="0"/>
          <w:i w:val="0"/>
          <w:caps w:val="0"/>
          <w:color w:val="auto"/>
          <w:spacing w:val="0"/>
          <w:kern w:val="0"/>
          <w:sz w:val="32"/>
          <w:szCs w:val="32"/>
          <w:shd w:val="clear" w:fill="FFFFFF"/>
          <w:lang w:val="en-US" w:eastAsia="zh-CN" w:bidi="ar"/>
        </w:rPr>
        <w:t>  为了调动大学生参加各级各类创新创业竞赛活动积极性、主动性和创造性，通过创新创业竞赛，选拔和发现勇于创新、善于创业的大学生创新创业人才和项目，带动和影响更多学生投身创新创业实践，培养学生创新创业意识与创造精神，激发大学生创业激情，提升学生创新创业能力，进一步营造校园创新创业氛围，促进大学生自主创业，结合学院实际，特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jc w:val="center"/>
        <w:textAlignment w:val="auto"/>
        <w:rPr>
          <w:rFonts w:hint="eastAsia" w:ascii="仿宋" w:hAnsi="仿宋" w:eastAsia="仿宋" w:cs="仿宋"/>
          <w:b/>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第二章  资金来源与奖励范围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i w:val="0"/>
          <w:caps w:val="0"/>
          <w:color w:val="auto"/>
          <w:spacing w:val="0"/>
          <w:kern w:val="0"/>
          <w:sz w:val="32"/>
          <w:szCs w:val="32"/>
          <w:shd w:val="clear" w:fill="FFFFFF"/>
          <w:lang w:val="en-US" w:eastAsia="zh-CN" w:bidi="ar"/>
        </w:rPr>
        <w:t>第二条</w:t>
      </w:r>
      <w:r>
        <w:rPr>
          <w:rFonts w:hint="eastAsia" w:ascii="仿宋" w:hAnsi="仿宋" w:eastAsia="仿宋" w:cs="仿宋"/>
          <w:b w:val="0"/>
          <w:i w:val="0"/>
          <w:caps w:val="0"/>
          <w:color w:val="auto"/>
          <w:spacing w:val="0"/>
          <w:kern w:val="0"/>
          <w:sz w:val="32"/>
          <w:szCs w:val="32"/>
          <w:shd w:val="clear" w:fill="FFFFFF"/>
          <w:lang w:val="en-US" w:eastAsia="zh-CN" w:bidi="ar"/>
        </w:rPr>
        <w:t>  </w:t>
      </w:r>
      <w:r>
        <w:rPr>
          <w:rFonts w:hint="eastAsia" w:ascii="仿宋" w:hAnsi="仿宋" w:eastAsia="仿宋" w:cs="仿宋"/>
          <w:b/>
          <w:bCs/>
          <w:i w:val="0"/>
          <w:caps w:val="0"/>
          <w:color w:val="auto"/>
          <w:spacing w:val="0"/>
          <w:kern w:val="0"/>
          <w:sz w:val="32"/>
          <w:szCs w:val="32"/>
          <w:shd w:val="clear" w:fill="FFFFFF"/>
          <w:lang w:val="en-US" w:eastAsia="zh-CN" w:bidi="ar"/>
        </w:rPr>
        <w:t>奖金来源：</w:t>
      </w:r>
      <w:r>
        <w:rPr>
          <w:rFonts w:hint="eastAsia" w:ascii="仿宋" w:hAnsi="仿宋" w:eastAsia="仿宋" w:cs="仿宋"/>
          <w:b w:val="0"/>
          <w:i w:val="0"/>
          <w:caps w:val="0"/>
          <w:color w:val="auto"/>
          <w:spacing w:val="0"/>
          <w:kern w:val="0"/>
          <w:sz w:val="32"/>
          <w:szCs w:val="32"/>
          <w:shd w:val="clear" w:fill="FFFFFF"/>
          <w:lang w:val="en-US" w:eastAsia="zh-CN" w:bidi="ar"/>
        </w:rPr>
        <w:t>每年从学院创业创新教育指导和学院绩效工资中划拨经费，设立大学生创新创业竞赛奖励金。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第三条 使用范围：</w:t>
      </w:r>
      <w:r>
        <w:rPr>
          <w:rFonts w:hint="eastAsia" w:ascii="仿宋" w:hAnsi="仿宋" w:eastAsia="仿宋" w:cs="仿宋"/>
          <w:b w:val="0"/>
          <w:i w:val="0"/>
          <w:caps w:val="0"/>
          <w:color w:val="auto"/>
          <w:spacing w:val="0"/>
          <w:kern w:val="0"/>
          <w:sz w:val="32"/>
          <w:szCs w:val="32"/>
          <w:shd w:val="clear" w:fill="FFFFFF"/>
          <w:lang w:val="en-US" w:eastAsia="zh-CN" w:bidi="ar"/>
        </w:rPr>
        <w:t>大学生创新创业竞赛奖励、专家评审、嘉宾讲座、优秀组织单位等费用从学院创业创新教育指导经费中列支；指导教师奖励经费从学院绩效工资中列支，不足部分经学院创新创业工作领导小组议定后从学院绩效工资中追加；大学生创新创业竞赛奖励金每年视奖金使用情况于下年度补足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i w:val="0"/>
          <w:caps w:val="0"/>
          <w:color w:val="auto"/>
          <w:spacing w:val="0"/>
          <w:kern w:val="0"/>
          <w:sz w:val="32"/>
          <w:szCs w:val="32"/>
          <w:shd w:val="clear" w:fill="FFFFFF"/>
          <w:lang w:val="en-US" w:eastAsia="zh-CN" w:bidi="ar"/>
        </w:rPr>
        <w:t>第四条  </w:t>
      </w:r>
      <w:r>
        <w:rPr>
          <w:rFonts w:hint="eastAsia" w:ascii="仿宋" w:hAnsi="仿宋" w:eastAsia="仿宋" w:cs="仿宋"/>
          <w:b w:val="0"/>
          <w:i w:val="0"/>
          <w:caps w:val="0"/>
          <w:color w:val="auto"/>
          <w:spacing w:val="0"/>
          <w:kern w:val="0"/>
          <w:sz w:val="32"/>
          <w:szCs w:val="32"/>
          <w:shd w:val="clear" w:fill="FFFFFF"/>
          <w:lang w:val="en-US" w:eastAsia="zh-CN" w:bidi="ar"/>
        </w:rPr>
        <w:t>奖励项目所取得的成果归湄洲湾职业技术学院和作者共享，项目成果参加各类比赛获得的奖品和奖金归项目团队所有。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i w:val="0"/>
          <w:caps w:val="0"/>
          <w:color w:val="auto"/>
          <w:spacing w:val="0"/>
          <w:kern w:val="0"/>
          <w:sz w:val="32"/>
          <w:szCs w:val="32"/>
          <w:shd w:val="clear" w:fill="FFFFFF"/>
          <w:lang w:val="en-US" w:eastAsia="zh-CN" w:bidi="ar"/>
        </w:rPr>
        <w:t>第五条</w:t>
      </w:r>
      <w:r>
        <w:rPr>
          <w:rFonts w:hint="eastAsia" w:ascii="仿宋" w:hAnsi="仿宋" w:eastAsia="仿宋" w:cs="仿宋"/>
          <w:b w:val="0"/>
          <w:i w:val="0"/>
          <w:caps w:val="0"/>
          <w:color w:val="auto"/>
          <w:spacing w:val="0"/>
          <w:kern w:val="0"/>
          <w:sz w:val="32"/>
          <w:szCs w:val="32"/>
          <w:shd w:val="clear" w:fill="FFFFFF"/>
          <w:lang w:val="en-US" w:eastAsia="zh-CN" w:bidi="ar"/>
        </w:rPr>
        <w:t>  本办法所规定奖励范围是指具有湄洲湾职业技术学院正式学籍的在校生及毕业五年内毕业生参加，由政府机构组织的、经学院认定有参加价值且有必要由学院统一组织的国（部）级、省级、市级、校级创新创业类竞赛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i w:val="0"/>
          <w:caps w:val="0"/>
          <w:color w:val="auto"/>
          <w:spacing w:val="0"/>
          <w:kern w:val="0"/>
          <w:sz w:val="32"/>
          <w:szCs w:val="32"/>
          <w:shd w:val="clear" w:fill="FFFFFF"/>
          <w:lang w:val="en-US" w:eastAsia="zh-CN" w:bidi="ar"/>
        </w:rPr>
        <w:t>第六条</w:t>
      </w:r>
      <w:r>
        <w:rPr>
          <w:rFonts w:hint="eastAsia" w:ascii="仿宋" w:hAnsi="仿宋" w:eastAsia="仿宋" w:cs="仿宋"/>
          <w:b w:val="0"/>
          <w:i w:val="0"/>
          <w:caps w:val="0"/>
          <w:color w:val="auto"/>
          <w:spacing w:val="0"/>
          <w:kern w:val="0"/>
          <w:sz w:val="32"/>
          <w:szCs w:val="32"/>
          <w:shd w:val="clear" w:fill="FFFFFF"/>
          <w:lang w:val="en-US" w:eastAsia="zh-CN" w:bidi="ar"/>
        </w:rPr>
        <w:t>  所有创新创业类竞赛项目，必须经学院领导审批后方可参加。经批准后按相应类别档次执行；未经审批参赛获奖的，学院将不给予奖励。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center"/>
        <w:textAlignment w:val="auto"/>
        <w:rPr>
          <w:rFonts w:hint="eastAsia" w:ascii="仿宋" w:hAnsi="仿宋" w:eastAsia="仿宋" w:cs="仿宋"/>
          <w:b/>
          <w:bCs/>
          <w:color w:val="auto"/>
          <w:sz w:val="32"/>
          <w:szCs w:val="32"/>
        </w:rPr>
      </w:pPr>
      <w:r>
        <w:rPr>
          <w:rFonts w:hint="eastAsia" w:ascii="仿宋" w:hAnsi="仿宋" w:eastAsia="仿宋" w:cs="仿宋"/>
          <w:b/>
          <w:bCs/>
          <w:i w:val="0"/>
          <w:caps w:val="0"/>
          <w:color w:val="auto"/>
          <w:spacing w:val="0"/>
          <w:kern w:val="0"/>
          <w:sz w:val="32"/>
          <w:szCs w:val="32"/>
          <w:shd w:val="clear" w:fill="FFFFFF"/>
          <w:lang w:val="en-US" w:eastAsia="zh-CN" w:bidi="ar"/>
        </w:rPr>
        <w:t>第三章  奖励标准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i w:val="0"/>
          <w:caps w:val="0"/>
          <w:color w:val="auto"/>
          <w:spacing w:val="0"/>
          <w:kern w:val="0"/>
          <w:sz w:val="32"/>
          <w:szCs w:val="32"/>
          <w:shd w:val="clear" w:fill="FFFFFF"/>
          <w:lang w:val="en-US" w:eastAsia="zh-CN" w:bidi="ar"/>
        </w:rPr>
        <w:t>第七条  </w:t>
      </w:r>
      <w:r>
        <w:rPr>
          <w:rFonts w:hint="eastAsia" w:ascii="仿宋" w:hAnsi="仿宋" w:eastAsia="仿宋" w:cs="仿宋"/>
          <w:b w:val="0"/>
          <w:i w:val="0"/>
          <w:caps w:val="0"/>
          <w:color w:val="auto"/>
          <w:spacing w:val="0"/>
          <w:kern w:val="0"/>
          <w:sz w:val="32"/>
          <w:szCs w:val="32"/>
          <w:shd w:val="clear" w:fill="FFFFFF"/>
          <w:lang w:val="en-US" w:eastAsia="zh-CN" w:bidi="ar"/>
        </w:rPr>
        <w:t>根据竞赛主办方的层次、竞赛的影响力、对学生创新创业能力锻炼程度及指导教师、学生精力投入及获奖情况，确定奖励办法，对参赛获奖学生、指导教师、组织部门、评审专家给予奖励。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i w:val="0"/>
          <w:caps w:val="0"/>
          <w:color w:val="auto"/>
          <w:spacing w:val="0"/>
          <w:kern w:val="0"/>
          <w:sz w:val="32"/>
          <w:szCs w:val="32"/>
          <w:shd w:val="clear" w:fill="FFFFFF"/>
          <w:lang w:val="en-US" w:eastAsia="zh-CN" w:bidi="ar"/>
        </w:rPr>
        <w:t>第八条  </w:t>
      </w:r>
      <w:r>
        <w:rPr>
          <w:rFonts w:hint="eastAsia" w:ascii="仿宋" w:hAnsi="仿宋" w:eastAsia="仿宋" w:cs="仿宋"/>
          <w:b/>
          <w:bCs/>
          <w:i w:val="0"/>
          <w:caps w:val="0"/>
          <w:color w:val="auto"/>
          <w:spacing w:val="0"/>
          <w:kern w:val="0"/>
          <w:sz w:val="32"/>
          <w:szCs w:val="32"/>
          <w:shd w:val="clear" w:fill="FFFFFF"/>
          <w:lang w:val="en-US" w:eastAsia="zh-CN" w:bidi="ar"/>
        </w:rPr>
        <w:t>获奖学生集体或个人的奖励办法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bCs/>
          <w:color w:val="auto"/>
          <w:sz w:val="32"/>
          <w:szCs w:val="32"/>
        </w:rPr>
      </w:pPr>
      <w:r>
        <w:rPr>
          <w:rFonts w:hint="eastAsia" w:ascii="仿宋" w:hAnsi="仿宋" w:eastAsia="仿宋" w:cs="仿宋"/>
          <w:b/>
          <w:bCs/>
          <w:i w:val="0"/>
          <w:caps w:val="0"/>
          <w:color w:val="auto"/>
          <w:spacing w:val="0"/>
          <w:kern w:val="0"/>
          <w:sz w:val="32"/>
          <w:szCs w:val="32"/>
          <w:shd w:val="clear" w:fill="FFFFFF"/>
          <w:lang w:val="en-US" w:eastAsia="zh-CN" w:bidi="ar"/>
        </w:rPr>
        <w:t>（一）奖金奖励（单位：元）</w:t>
      </w:r>
    </w:p>
    <w:tbl>
      <w:tblPr>
        <w:tblStyle w:val="5"/>
        <w:tblW w:w="832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43"/>
        <w:gridCol w:w="1414"/>
        <w:gridCol w:w="1730"/>
        <w:gridCol w:w="1729"/>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2343" w:type="dxa"/>
            <w:tcBorders>
              <w:top w:val="single" w:color="auto" w:sz="8" w:space="0"/>
              <w:left w:val="single" w:color="auto" w:sz="8" w:space="0"/>
              <w:bottom w:val="single" w:color="auto" w:sz="8" w:space="0"/>
              <w:right w:val="single" w:color="auto" w:sz="8" w:space="0"/>
              <w:tl2br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 xml:space="preserve">级别      奖次 </w:t>
            </w:r>
          </w:p>
        </w:tc>
        <w:tc>
          <w:tcPr>
            <w:tcW w:w="141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一等奖</w:t>
            </w:r>
          </w:p>
        </w:tc>
        <w:tc>
          <w:tcPr>
            <w:tcW w:w="17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二等奖</w:t>
            </w:r>
          </w:p>
        </w:tc>
        <w:tc>
          <w:tcPr>
            <w:tcW w:w="172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三等奖</w:t>
            </w:r>
          </w:p>
        </w:tc>
        <w:tc>
          <w:tcPr>
            <w:tcW w:w="111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4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国（部）级</w:t>
            </w:r>
          </w:p>
        </w:tc>
        <w:tc>
          <w:tcPr>
            <w:tcW w:w="141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30000</w:t>
            </w:r>
          </w:p>
        </w:tc>
        <w:tc>
          <w:tcPr>
            <w:tcW w:w="17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20000</w:t>
            </w:r>
          </w:p>
        </w:tc>
        <w:tc>
          <w:tcPr>
            <w:tcW w:w="172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15000</w:t>
            </w:r>
          </w:p>
        </w:tc>
        <w:tc>
          <w:tcPr>
            <w:tcW w:w="111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4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省级</w:t>
            </w:r>
          </w:p>
        </w:tc>
        <w:tc>
          <w:tcPr>
            <w:tcW w:w="141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10000</w:t>
            </w:r>
          </w:p>
        </w:tc>
        <w:tc>
          <w:tcPr>
            <w:tcW w:w="17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5000</w:t>
            </w:r>
          </w:p>
        </w:tc>
        <w:tc>
          <w:tcPr>
            <w:tcW w:w="172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2000</w:t>
            </w:r>
          </w:p>
        </w:tc>
        <w:tc>
          <w:tcPr>
            <w:tcW w:w="111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4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市级</w:t>
            </w:r>
          </w:p>
        </w:tc>
        <w:tc>
          <w:tcPr>
            <w:tcW w:w="141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1000</w:t>
            </w:r>
          </w:p>
        </w:tc>
        <w:tc>
          <w:tcPr>
            <w:tcW w:w="173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800</w:t>
            </w:r>
          </w:p>
        </w:tc>
        <w:tc>
          <w:tcPr>
            <w:tcW w:w="1729"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600</w:t>
            </w:r>
          </w:p>
        </w:tc>
        <w:tc>
          <w:tcPr>
            <w:tcW w:w="111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34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校级</w:t>
            </w:r>
          </w:p>
        </w:tc>
        <w:tc>
          <w:tcPr>
            <w:tcW w:w="5983"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校级比赛及同项目赛事晋级比赛以单次比赛方案规定的奖励金为准</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（二）对取得其他形式奖项的等级认定办法：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0"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参加比赛取得金奖、银奖和铜奖的，分别按照一、二和三等奖认定；取得鼓励奖或其他奖项的按照优秀奖认定。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0" w:firstLineChars="200"/>
        <w:jc w:val="left"/>
        <w:textAlignment w:val="auto"/>
        <w:rPr>
          <w:rFonts w:hint="eastAsia" w:ascii="黑体" w:hAnsi="宋体" w:eastAsia="黑体" w:cs="宋体"/>
          <w:color w:val="auto"/>
          <w:kern w:val="0"/>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t>（三）根据学院《关于各级各类别技能竞赛活动获奖学生学分奖励的办法》参赛学生视其竞赛级别及获奖等级，对应“专业技能类竞赛”学分奖励。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exact"/>
        <w:ind w:left="0" w:leftChars="0" w:right="0" w:rightChars="0" w:firstLine="0" w:firstLineChars="0"/>
        <w:jc w:val="center"/>
        <w:textAlignment w:val="auto"/>
        <w:outlineLvl w:val="9"/>
        <w:rPr>
          <w:rFonts w:hint="eastAsia" w:ascii="黑体" w:hAnsi="宋体" w:eastAsia="黑体" w:cs="宋体"/>
          <w:color w:val="auto"/>
          <w:kern w:val="0"/>
          <w:sz w:val="32"/>
          <w:szCs w:val="32"/>
        </w:rPr>
      </w:pPr>
      <w:r>
        <w:rPr>
          <w:rFonts w:hint="eastAsia" w:ascii="黑体" w:hAnsi="宋体" w:eastAsia="黑体" w:cs="宋体"/>
          <w:color w:val="auto"/>
          <w:kern w:val="0"/>
          <w:sz w:val="32"/>
          <w:szCs w:val="32"/>
        </w:rPr>
        <w:t>湄洲湾职业技术学院学生参加各类别技能竞赛对应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360" w:lineRule="exact"/>
        <w:ind w:left="0" w:leftChars="0" w:right="0" w:rightChars="0" w:firstLine="0" w:firstLineChars="0"/>
        <w:jc w:val="center"/>
        <w:textAlignment w:val="auto"/>
        <w:outlineLvl w:val="9"/>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黑体" w:hAnsi="宋体" w:eastAsia="黑体" w:cs="宋体"/>
          <w:color w:val="auto"/>
          <w:kern w:val="0"/>
          <w:sz w:val="32"/>
          <w:szCs w:val="32"/>
        </w:rPr>
        <w:t>学分奖励参照表</w:t>
      </w:r>
    </w:p>
    <w:tbl>
      <w:tblPr>
        <w:tblStyle w:val="5"/>
        <w:tblW w:w="9025" w:type="dxa"/>
        <w:tblInd w:w="93" w:type="dxa"/>
        <w:tblLayout w:type="fixed"/>
        <w:tblCellMar>
          <w:top w:w="0" w:type="dxa"/>
          <w:left w:w="108" w:type="dxa"/>
          <w:bottom w:w="0" w:type="dxa"/>
          <w:right w:w="108" w:type="dxa"/>
        </w:tblCellMar>
      </w:tblPr>
      <w:tblGrid>
        <w:gridCol w:w="847"/>
        <w:gridCol w:w="472"/>
        <w:gridCol w:w="473"/>
        <w:gridCol w:w="474"/>
        <w:gridCol w:w="594"/>
        <w:gridCol w:w="473"/>
        <w:gridCol w:w="474"/>
        <w:gridCol w:w="594"/>
        <w:gridCol w:w="473"/>
        <w:gridCol w:w="474"/>
        <w:gridCol w:w="474"/>
        <w:gridCol w:w="594"/>
        <w:gridCol w:w="473"/>
        <w:gridCol w:w="474"/>
        <w:gridCol w:w="594"/>
        <w:gridCol w:w="594"/>
        <w:gridCol w:w="474"/>
      </w:tblGrid>
      <w:tr>
        <w:tblPrEx>
          <w:tblLayout w:type="fixed"/>
          <w:tblCellMar>
            <w:top w:w="0" w:type="dxa"/>
            <w:left w:w="108" w:type="dxa"/>
            <w:bottom w:w="0" w:type="dxa"/>
            <w:right w:w="108" w:type="dxa"/>
          </w:tblCellMar>
        </w:tblPrEx>
        <w:trPr>
          <w:trHeight w:val="537" w:hRule="atLeast"/>
        </w:trPr>
        <w:tc>
          <w:tcPr>
            <w:tcW w:w="8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竞赛级别</w:t>
            </w:r>
          </w:p>
        </w:tc>
        <w:tc>
          <w:tcPr>
            <w:tcW w:w="201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32"/>
                <w:szCs w:val="32"/>
              </w:rPr>
            </w:pPr>
            <w:r>
              <w:rPr>
                <w:rFonts w:hint="eastAsia" w:ascii="宋体" w:hAnsi="宋体" w:cs="宋体"/>
                <w:color w:val="auto"/>
                <w:kern w:val="0"/>
                <w:sz w:val="32"/>
                <w:szCs w:val="32"/>
              </w:rPr>
              <w:t>院级</w:t>
            </w:r>
          </w:p>
        </w:tc>
        <w:tc>
          <w:tcPr>
            <w:tcW w:w="201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32"/>
                <w:szCs w:val="32"/>
              </w:rPr>
            </w:pPr>
            <w:r>
              <w:rPr>
                <w:rFonts w:hint="eastAsia" w:ascii="宋体" w:hAnsi="宋体" w:cs="宋体"/>
                <w:color w:val="auto"/>
                <w:kern w:val="0"/>
                <w:sz w:val="32"/>
                <w:szCs w:val="32"/>
              </w:rPr>
              <w:t>市级</w:t>
            </w:r>
          </w:p>
        </w:tc>
        <w:tc>
          <w:tcPr>
            <w:tcW w:w="201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32"/>
                <w:szCs w:val="32"/>
              </w:rPr>
            </w:pPr>
            <w:r>
              <w:rPr>
                <w:rFonts w:hint="eastAsia" w:ascii="宋体" w:hAnsi="宋体" w:cs="宋体"/>
                <w:color w:val="auto"/>
                <w:kern w:val="0"/>
                <w:sz w:val="32"/>
                <w:szCs w:val="32"/>
              </w:rPr>
              <w:t>省级</w:t>
            </w:r>
          </w:p>
        </w:tc>
        <w:tc>
          <w:tcPr>
            <w:tcW w:w="213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32"/>
                <w:szCs w:val="32"/>
              </w:rPr>
            </w:pPr>
            <w:r>
              <w:rPr>
                <w:rFonts w:hint="eastAsia" w:ascii="宋体" w:hAnsi="宋体" w:cs="宋体"/>
                <w:color w:val="auto"/>
                <w:kern w:val="0"/>
                <w:sz w:val="32"/>
                <w:szCs w:val="32"/>
              </w:rPr>
              <w:t>国家级</w:t>
            </w:r>
          </w:p>
        </w:tc>
      </w:tr>
      <w:tr>
        <w:tblPrEx>
          <w:tblLayout w:type="fixed"/>
          <w:tblCellMar>
            <w:top w:w="0" w:type="dxa"/>
            <w:left w:w="108" w:type="dxa"/>
            <w:bottom w:w="0" w:type="dxa"/>
            <w:right w:w="108" w:type="dxa"/>
          </w:tblCellMar>
        </w:tblPrEx>
        <w:trPr>
          <w:trHeight w:val="1569" w:hRule="atLeast"/>
        </w:trPr>
        <w:tc>
          <w:tcPr>
            <w:tcW w:w="8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32"/>
                <w:szCs w:val="32"/>
              </w:rPr>
            </w:pPr>
          </w:p>
        </w:tc>
        <w:tc>
          <w:tcPr>
            <w:tcW w:w="47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优秀奖</w:t>
            </w:r>
          </w:p>
        </w:tc>
        <w:tc>
          <w:tcPr>
            <w:tcW w:w="4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三等奖</w:t>
            </w:r>
          </w:p>
        </w:tc>
        <w:tc>
          <w:tcPr>
            <w:tcW w:w="4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二等奖</w:t>
            </w:r>
          </w:p>
        </w:tc>
        <w:tc>
          <w:tcPr>
            <w:tcW w:w="5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一</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奖</w:t>
            </w:r>
          </w:p>
        </w:tc>
        <w:tc>
          <w:tcPr>
            <w:tcW w:w="4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优秀奖</w:t>
            </w:r>
          </w:p>
        </w:tc>
        <w:tc>
          <w:tcPr>
            <w:tcW w:w="4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三等奖</w:t>
            </w:r>
          </w:p>
        </w:tc>
        <w:tc>
          <w:tcPr>
            <w:tcW w:w="5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奖</w:t>
            </w:r>
          </w:p>
        </w:tc>
        <w:tc>
          <w:tcPr>
            <w:tcW w:w="4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一等奖</w:t>
            </w:r>
          </w:p>
        </w:tc>
        <w:tc>
          <w:tcPr>
            <w:tcW w:w="4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优秀奖</w:t>
            </w:r>
          </w:p>
        </w:tc>
        <w:tc>
          <w:tcPr>
            <w:tcW w:w="4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三等奖</w:t>
            </w:r>
          </w:p>
        </w:tc>
        <w:tc>
          <w:tcPr>
            <w:tcW w:w="5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奖</w:t>
            </w:r>
          </w:p>
        </w:tc>
        <w:tc>
          <w:tcPr>
            <w:tcW w:w="47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一等奖</w:t>
            </w:r>
          </w:p>
        </w:tc>
        <w:tc>
          <w:tcPr>
            <w:tcW w:w="4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优秀奖</w:t>
            </w:r>
          </w:p>
        </w:tc>
        <w:tc>
          <w:tcPr>
            <w:tcW w:w="5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奖</w:t>
            </w:r>
          </w:p>
        </w:tc>
        <w:tc>
          <w:tcPr>
            <w:tcW w:w="59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二</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color w:val="auto"/>
                <w:kern w:val="0"/>
                <w:sz w:val="32"/>
                <w:szCs w:val="32"/>
              </w:rPr>
            </w:pPr>
            <w:r>
              <w:rPr>
                <w:rFonts w:hint="eastAsia" w:ascii="宋体" w:hAnsi="宋体" w:cs="宋体"/>
                <w:color w:val="auto"/>
                <w:kern w:val="0"/>
                <w:sz w:val="32"/>
                <w:szCs w:val="32"/>
              </w:rPr>
              <w:t>等</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奖</w:t>
            </w:r>
          </w:p>
        </w:tc>
        <w:tc>
          <w:tcPr>
            <w:tcW w:w="47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ascii="宋体" w:hAnsi="宋体" w:cs="宋体"/>
                <w:color w:val="auto"/>
                <w:kern w:val="0"/>
                <w:sz w:val="32"/>
                <w:szCs w:val="32"/>
              </w:rPr>
            </w:pPr>
            <w:r>
              <w:rPr>
                <w:rFonts w:hint="eastAsia" w:ascii="宋体" w:hAnsi="宋体" w:cs="宋体"/>
                <w:color w:val="auto"/>
                <w:kern w:val="0"/>
                <w:sz w:val="32"/>
                <w:szCs w:val="32"/>
              </w:rPr>
              <w:t>一等奖</w:t>
            </w:r>
          </w:p>
        </w:tc>
      </w:tr>
      <w:tr>
        <w:tblPrEx>
          <w:tblLayout w:type="fixed"/>
          <w:tblCellMar>
            <w:top w:w="0" w:type="dxa"/>
            <w:left w:w="108" w:type="dxa"/>
            <w:bottom w:w="0" w:type="dxa"/>
            <w:right w:w="108" w:type="dxa"/>
          </w:tblCellMar>
        </w:tblPrEx>
        <w:trPr>
          <w:trHeight w:val="805" w:hRule="atLeast"/>
        </w:trPr>
        <w:tc>
          <w:tcPr>
            <w:tcW w:w="8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32"/>
                <w:szCs w:val="32"/>
              </w:rPr>
            </w:pPr>
            <w:r>
              <w:rPr>
                <w:rFonts w:hint="eastAsia" w:ascii="宋体" w:hAnsi="宋体" w:cs="宋体"/>
                <w:color w:val="auto"/>
                <w:kern w:val="0"/>
                <w:sz w:val="24"/>
                <w:szCs w:val="24"/>
              </w:rPr>
              <w:t>专业技能类竞赛</w:t>
            </w:r>
          </w:p>
        </w:tc>
        <w:tc>
          <w:tcPr>
            <w:tcW w:w="47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0</w:t>
            </w:r>
          </w:p>
        </w:tc>
        <w:tc>
          <w:tcPr>
            <w:tcW w:w="4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0</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0</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c>
          <w:tcPr>
            <w:tcW w:w="4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0</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2</w:t>
            </w:r>
          </w:p>
        </w:tc>
        <w:tc>
          <w:tcPr>
            <w:tcW w:w="4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1</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4</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6</w:t>
            </w:r>
          </w:p>
        </w:tc>
        <w:tc>
          <w:tcPr>
            <w:tcW w:w="47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4</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10</w:t>
            </w:r>
          </w:p>
        </w:tc>
        <w:tc>
          <w:tcPr>
            <w:tcW w:w="59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12</w:t>
            </w:r>
          </w:p>
        </w:tc>
        <w:tc>
          <w:tcPr>
            <w:tcW w:w="47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16</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t>（四）各种大赛的参赛学生人数具体按照比赛通知或相关文件执行。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bCs w:val="0"/>
          <w:color w:val="auto"/>
          <w:sz w:val="32"/>
          <w:szCs w:val="32"/>
        </w:rPr>
      </w:pPr>
      <w:r>
        <w:rPr>
          <w:rFonts w:hint="eastAsia" w:ascii="仿宋" w:hAnsi="仿宋" w:eastAsia="仿宋" w:cs="仿宋"/>
          <w:b/>
          <w:bCs w:val="0"/>
          <w:i w:val="0"/>
          <w:caps w:val="0"/>
          <w:color w:val="auto"/>
          <w:spacing w:val="0"/>
          <w:kern w:val="0"/>
          <w:sz w:val="32"/>
          <w:szCs w:val="32"/>
          <w:shd w:val="clear" w:fill="FFFFFF"/>
          <w:lang w:val="en-US" w:eastAsia="zh-CN" w:bidi="ar"/>
        </w:rPr>
        <w:t>第九条  指导教师奖励办法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bCs w:val="0"/>
          <w:color w:val="auto"/>
          <w:sz w:val="32"/>
          <w:szCs w:val="32"/>
        </w:rPr>
      </w:pPr>
      <w:r>
        <w:rPr>
          <w:rFonts w:hint="eastAsia" w:ascii="仿宋" w:hAnsi="仿宋" w:eastAsia="仿宋" w:cs="仿宋"/>
          <w:b/>
          <w:bCs w:val="0"/>
          <w:i w:val="0"/>
          <w:caps w:val="0"/>
          <w:color w:val="auto"/>
          <w:spacing w:val="0"/>
          <w:kern w:val="0"/>
          <w:sz w:val="32"/>
          <w:szCs w:val="32"/>
          <w:shd w:val="clear" w:fill="FFFFFF"/>
          <w:lang w:val="en-US" w:eastAsia="zh-CN" w:bidi="ar"/>
        </w:rPr>
        <w:t>（一）奖金奖励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t>1. 对参与指导学生创新创业类竞赛并获国（部）级、省级、市级、校级奖项的指导教师及团队，根据竞赛级别和获奖等次，给予奖金奖励（单位：元），奖励金从学院绩效工资中列支。</w:t>
      </w:r>
    </w:p>
    <w:tbl>
      <w:tblPr>
        <w:tblStyle w:val="5"/>
        <w:tblW w:w="8326"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50"/>
        <w:gridCol w:w="1584"/>
        <w:gridCol w:w="1583"/>
        <w:gridCol w:w="1426"/>
        <w:gridCol w:w="10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2650" w:type="dxa"/>
            <w:tcBorders>
              <w:top w:val="single" w:color="auto" w:sz="8" w:space="0"/>
              <w:left w:val="single" w:color="auto" w:sz="8" w:space="0"/>
              <w:bottom w:val="single" w:color="auto" w:sz="8" w:space="0"/>
              <w:right w:val="single" w:color="auto" w:sz="8" w:space="0"/>
              <w:tl2br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级别         奖次</w:t>
            </w:r>
          </w:p>
        </w:tc>
        <w:tc>
          <w:tcPr>
            <w:tcW w:w="158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一等奖</w:t>
            </w:r>
          </w:p>
        </w:tc>
        <w:tc>
          <w:tcPr>
            <w:tcW w:w="15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二等奖</w:t>
            </w:r>
          </w:p>
        </w:tc>
        <w:tc>
          <w:tcPr>
            <w:tcW w:w="142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三等奖</w:t>
            </w:r>
          </w:p>
        </w:tc>
        <w:tc>
          <w:tcPr>
            <w:tcW w:w="10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6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国（部）级</w:t>
            </w:r>
          </w:p>
        </w:tc>
        <w:tc>
          <w:tcPr>
            <w:tcW w:w="158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15000</w:t>
            </w:r>
          </w:p>
        </w:tc>
        <w:tc>
          <w:tcPr>
            <w:tcW w:w="15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10000</w:t>
            </w:r>
          </w:p>
        </w:tc>
        <w:tc>
          <w:tcPr>
            <w:tcW w:w="142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8000</w:t>
            </w:r>
          </w:p>
        </w:tc>
        <w:tc>
          <w:tcPr>
            <w:tcW w:w="10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6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省级</w:t>
            </w:r>
          </w:p>
        </w:tc>
        <w:tc>
          <w:tcPr>
            <w:tcW w:w="158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5000</w:t>
            </w:r>
          </w:p>
        </w:tc>
        <w:tc>
          <w:tcPr>
            <w:tcW w:w="15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3000</w:t>
            </w:r>
          </w:p>
        </w:tc>
        <w:tc>
          <w:tcPr>
            <w:tcW w:w="142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2000</w:t>
            </w:r>
          </w:p>
        </w:tc>
        <w:tc>
          <w:tcPr>
            <w:tcW w:w="10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c>
          <w:tcPr>
            <w:tcW w:w="26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市级</w:t>
            </w:r>
          </w:p>
        </w:tc>
        <w:tc>
          <w:tcPr>
            <w:tcW w:w="1584"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1000</w:t>
            </w:r>
          </w:p>
        </w:tc>
        <w:tc>
          <w:tcPr>
            <w:tcW w:w="15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800</w:t>
            </w:r>
          </w:p>
        </w:tc>
        <w:tc>
          <w:tcPr>
            <w:tcW w:w="1426"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500</w:t>
            </w:r>
          </w:p>
        </w:tc>
        <w:tc>
          <w:tcPr>
            <w:tcW w:w="10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650"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校级</w:t>
            </w:r>
          </w:p>
        </w:tc>
        <w:tc>
          <w:tcPr>
            <w:tcW w:w="5676"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exact"/>
              <w:ind w:left="0" w:leftChars="0" w:right="0" w:rightChars="0" w:firstLine="0" w:firstLineChars="0"/>
              <w:jc w:val="center"/>
              <w:textAlignment w:val="auto"/>
              <w:outlineLvl w:val="9"/>
              <w:rPr>
                <w:rFonts w:hint="eastAsia" w:ascii="仿宋" w:hAnsi="仿宋" w:eastAsia="仿宋" w:cs="仿宋"/>
                <w:color w:val="auto"/>
                <w:kern w:val="0"/>
                <w:sz w:val="32"/>
                <w:szCs w:val="32"/>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校级比赛及同项目赛事晋级比赛以单次比赛方案规定的奖励金为准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right="0" w:firstLine="640" w:firstLineChars="200"/>
        <w:jc w:val="both"/>
        <w:rPr>
          <w:rFonts w:hint="eastAsia" w:ascii="仿宋" w:hAnsi="仿宋" w:eastAsia="仿宋" w:cs="仿宋"/>
          <w:color w:val="auto"/>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t>2.</w:t>
      </w:r>
      <w:r>
        <w:rPr>
          <w:rFonts w:hint="default" w:ascii="仿宋" w:hAnsi="仿宋" w:eastAsia="仿宋" w:cs="仿宋"/>
          <w:b w:val="0"/>
          <w:i w:val="0"/>
          <w:caps w:val="0"/>
          <w:color w:val="auto"/>
          <w:spacing w:val="0"/>
          <w:kern w:val="0"/>
          <w:sz w:val="32"/>
          <w:szCs w:val="32"/>
          <w:shd w:val="clear" w:fill="FFFFFF"/>
          <w:lang w:val="en-US" w:eastAsia="zh-CN" w:bidi="ar"/>
        </w:rPr>
        <w:t>对指导教师的认定以报名阶段提交的教师名单为准，指导教师团队须从校赛阶段开始全程参与指导，并带领学生完成各项任务</w:t>
      </w:r>
      <w:r>
        <w:rPr>
          <w:rFonts w:hint="eastAsia" w:ascii="仿宋" w:hAnsi="仿宋" w:eastAsia="仿宋" w:cs="仿宋"/>
          <w:b w:val="0"/>
          <w:i w:val="0"/>
          <w:caps w:val="0"/>
          <w:color w:val="auto"/>
          <w:spacing w:val="0"/>
          <w:kern w:val="0"/>
          <w:sz w:val="32"/>
          <w:szCs w:val="32"/>
          <w:shd w:val="clear" w:fill="FFFFFF"/>
          <w:lang w:val="en-US" w:eastAsia="zh-CN" w:bidi="ar"/>
        </w:rPr>
        <w:t>；指导教师团队涉及多人指导的，排名第一的指导教师为指导教师团队负责人，奖金由第一负责人分配。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i w:val="0"/>
          <w:caps w:val="0"/>
          <w:color w:val="auto"/>
          <w:spacing w:val="0"/>
          <w:kern w:val="0"/>
          <w:sz w:val="32"/>
          <w:szCs w:val="32"/>
          <w:shd w:val="clear" w:fill="FFFFFF"/>
          <w:lang w:val="en-US" w:eastAsia="zh-CN" w:bidi="ar"/>
        </w:rPr>
        <w:t>（二）各级各类创新创业竞赛的指导教师数量：省赛及以下赛事指导教师团队原则上1名，最多不超过2名；国赛指导教师团队原则上不超过3名，最多不超过4名。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left"/>
        <w:textAlignment w:val="auto"/>
        <w:rPr>
          <w:rFonts w:hint="eastAsia" w:ascii="仿宋" w:hAnsi="仿宋" w:eastAsia="仿宋" w:cs="仿宋"/>
          <w:color w:val="auto"/>
          <w:sz w:val="32"/>
          <w:szCs w:val="32"/>
        </w:rPr>
      </w:pPr>
      <w:r>
        <w:rPr>
          <w:rFonts w:hint="eastAsia" w:ascii="仿宋" w:hAnsi="仿宋" w:eastAsia="仿宋" w:cs="仿宋"/>
          <w:b w:val="0"/>
          <w:i w:val="0"/>
          <w:caps w:val="0"/>
          <w:color w:val="auto"/>
          <w:spacing w:val="0"/>
          <w:kern w:val="0"/>
          <w:sz w:val="32"/>
          <w:szCs w:val="32"/>
          <w:shd w:val="clear" w:fill="FFFFFF"/>
          <w:lang w:val="en-US" w:eastAsia="zh-CN" w:bidi="ar"/>
        </w:rPr>
        <w:t>（三）在学院各类科研项目评审中，对参与指导学生创新创业类竞赛的教师同等条件下优先支持。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（四）参与指导学生创新创业类竞赛荣获各级奖项，纳入职称评聘条件的指标体系：</w:t>
      </w:r>
      <w:r>
        <w:rPr>
          <w:rFonts w:hint="eastAsia" w:ascii="仿宋" w:hAnsi="仿宋" w:eastAsia="仿宋" w:cs="仿宋"/>
          <w:b w:val="0"/>
          <w:i w:val="0"/>
          <w:caps w:val="0"/>
          <w:color w:val="auto"/>
          <w:spacing w:val="0"/>
          <w:kern w:val="0"/>
          <w:sz w:val="32"/>
          <w:szCs w:val="32"/>
          <w:shd w:val="clear" w:fill="FFFFFF"/>
          <w:lang w:val="en-US" w:eastAsia="zh-CN" w:bidi="ar"/>
        </w:rPr>
        <w:sym w:font="Wingdings" w:char="F081"/>
      </w:r>
      <w:r>
        <w:rPr>
          <w:rFonts w:hint="eastAsia" w:ascii="仿宋" w:hAnsi="仿宋" w:eastAsia="仿宋" w:cs="仿宋"/>
          <w:b w:val="0"/>
          <w:i w:val="0"/>
          <w:caps w:val="0"/>
          <w:color w:val="auto"/>
          <w:spacing w:val="0"/>
          <w:kern w:val="0"/>
          <w:sz w:val="32"/>
          <w:szCs w:val="32"/>
          <w:shd w:val="clear" w:fill="FFFFFF"/>
          <w:lang w:val="en-US" w:eastAsia="zh-CN" w:bidi="ar"/>
        </w:rPr>
        <w:t>获得大学生创新创业类大赛国赛金奖、国赛银奖项目的指导教师团队视同共同主持完成一项国家级科研一般项目；</w:t>
      </w:r>
      <w:r>
        <w:rPr>
          <w:rFonts w:hint="eastAsia" w:ascii="仿宋" w:hAnsi="仿宋" w:eastAsia="仿宋" w:cs="仿宋"/>
          <w:b w:val="0"/>
          <w:i w:val="0"/>
          <w:caps w:val="0"/>
          <w:color w:val="auto"/>
          <w:spacing w:val="0"/>
          <w:kern w:val="0"/>
          <w:sz w:val="32"/>
          <w:szCs w:val="32"/>
          <w:shd w:val="clear" w:fill="FFFFFF"/>
          <w:lang w:val="en-US" w:eastAsia="zh-CN" w:bidi="ar"/>
        </w:rPr>
        <w:sym w:font="Wingdings" w:char="F082"/>
      </w:r>
      <w:r>
        <w:rPr>
          <w:rFonts w:hint="eastAsia" w:ascii="仿宋" w:hAnsi="仿宋" w:eastAsia="仿宋" w:cs="仿宋"/>
          <w:b w:val="0"/>
          <w:i w:val="0"/>
          <w:caps w:val="0"/>
          <w:color w:val="auto"/>
          <w:spacing w:val="0"/>
          <w:kern w:val="0"/>
          <w:sz w:val="32"/>
          <w:szCs w:val="32"/>
          <w:shd w:val="clear" w:fill="FFFFFF"/>
          <w:lang w:val="en-US" w:eastAsia="zh-CN" w:bidi="ar"/>
        </w:rPr>
        <w:t>获得大学生创新创业类大赛国赛铜奖、省赛金奖项目的指导教师团队视同共同主持完成一项省级科研一般项目；</w:t>
      </w:r>
      <w:r>
        <w:rPr>
          <w:rFonts w:hint="eastAsia" w:ascii="仿宋" w:hAnsi="仿宋" w:eastAsia="仿宋" w:cs="仿宋"/>
          <w:b w:val="0"/>
          <w:i w:val="0"/>
          <w:caps w:val="0"/>
          <w:color w:val="auto"/>
          <w:spacing w:val="0"/>
          <w:kern w:val="0"/>
          <w:sz w:val="32"/>
          <w:szCs w:val="32"/>
          <w:shd w:val="clear" w:fill="FFFFFF"/>
          <w:lang w:val="en-US" w:eastAsia="zh-CN" w:bidi="ar"/>
        </w:rPr>
        <w:sym w:font="Wingdings" w:char="F083"/>
      </w:r>
      <w:r>
        <w:rPr>
          <w:rFonts w:hint="eastAsia" w:ascii="仿宋" w:hAnsi="仿宋" w:eastAsia="仿宋" w:cs="仿宋"/>
          <w:b w:val="0"/>
          <w:i w:val="0"/>
          <w:caps w:val="0"/>
          <w:color w:val="auto"/>
          <w:spacing w:val="0"/>
          <w:kern w:val="0"/>
          <w:sz w:val="32"/>
          <w:szCs w:val="32"/>
          <w:shd w:val="clear" w:fill="FFFFFF"/>
          <w:lang w:val="en-US" w:eastAsia="zh-CN" w:bidi="ar"/>
        </w:rPr>
        <w:t>获得大学生创新创业类大赛省赛银奖、省赛铜奖、市赛金奖项目的指导教师团队视同共同主持完成一项市级科研一般项目；</w:t>
      </w:r>
      <w:r>
        <w:rPr>
          <w:rFonts w:hint="eastAsia" w:ascii="仿宋" w:hAnsi="仿宋" w:eastAsia="仿宋" w:cs="仿宋"/>
          <w:b w:val="0"/>
          <w:i w:val="0"/>
          <w:caps w:val="0"/>
          <w:color w:val="auto"/>
          <w:spacing w:val="0"/>
          <w:kern w:val="0"/>
          <w:sz w:val="32"/>
          <w:szCs w:val="32"/>
          <w:shd w:val="clear" w:fill="FFFFFF"/>
          <w:lang w:val="en-US" w:eastAsia="zh-CN" w:bidi="ar"/>
        </w:rPr>
        <w:sym w:font="Wingdings" w:char="0084"/>
      </w:r>
      <w:r>
        <w:rPr>
          <w:rFonts w:hint="eastAsia" w:ascii="仿宋" w:hAnsi="仿宋" w:eastAsia="仿宋" w:cs="仿宋"/>
          <w:b w:val="0"/>
          <w:i w:val="0"/>
          <w:caps w:val="0"/>
          <w:color w:val="auto"/>
          <w:spacing w:val="0"/>
          <w:kern w:val="0"/>
          <w:sz w:val="32"/>
          <w:szCs w:val="32"/>
          <w:shd w:val="clear" w:fill="FFFFFF"/>
          <w:lang w:val="en-US" w:eastAsia="zh-CN" w:bidi="ar"/>
        </w:rPr>
        <w:t>获得大学生创新创业类大赛市赛银奖、市赛铜奖项目的指导教师团队视同共同主持完成一项院级科研一般项目。奖励认定仅作为职称评聘和聘期任务使用，不做其他用途，不再享受相应的认定成果的校内科研业绩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i w:val="0"/>
          <w:caps w:val="0"/>
          <w:color w:val="auto"/>
          <w:spacing w:val="0"/>
          <w:kern w:val="0"/>
          <w:sz w:val="32"/>
          <w:szCs w:val="32"/>
          <w:shd w:val="clear" w:fill="FFFFFF"/>
          <w:lang w:val="en-US" w:eastAsia="zh-CN" w:bidi="ar"/>
        </w:rPr>
        <w:t>第十条 </w:t>
      </w:r>
      <w:r>
        <w:rPr>
          <w:rFonts w:hint="eastAsia" w:ascii="仿宋" w:hAnsi="仿宋" w:eastAsia="仿宋" w:cs="仿宋"/>
          <w:b w:val="0"/>
          <w:i w:val="0"/>
          <w:caps w:val="0"/>
          <w:color w:val="auto"/>
          <w:spacing w:val="0"/>
          <w:kern w:val="0"/>
          <w:sz w:val="32"/>
          <w:szCs w:val="32"/>
          <w:shd w:val="clear" w:fill="FFFFFF"/>
          <w:lang w:val="en-US" w:eastAsia="zh-CN" w:bidi="ar"/>
        </w:rPr>
        <w:t> 同一项目多次获奖或不同级别获奖时，按照就高不就低的原则进行奖励，不累计计算；同一项目在同一赛事中同时获得组织方单独设置的奖项，经认定确具项目本身价值体现的，可以按获奖级别的更高一级标准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i w:val="0"/>
          <w:caps w:val="0"/>
          <w:color w:val="auto"/>
          <w:spacing w:val="0"/>
          <w:kern w:val="0"/>
          <w:sz w:val="32"/>
          <w:szCs w:val="32"/>
          <w:shd w:val="clear" w:fill="FFFFFF"/>
          <w:lang w:val="en-US" w:eastAsia="zh-CN" w:bidi="ar"/>
        </w:rPr>
        <w:t>第十一条 </w:t>
      </w:r>
      <w:r>
        <w:rPr>
          <w:rFonts w:hint="eastAsia" w:ascii="仿宋" w:hAnsi="仿宋" w:eastAsia="仿宋" w:cs="仿宋"/>
          <w:b w:val="0"/>
          <w:i w:val="0"/>
          <w:caps w:val="0"/>
          <w:color w:val="auto"/>
          <w:spacing w:val="0"/>
          <w:kern w:val="0"/>
          <w:sz w:val="32"/>
          <w:szCs w:val="32"/>
          <w:shd w:val="clear" w:fill="FFFFFF"/>
          <w:lang w:val="en-US" w:eastAsia="zh-CN" w:bidi="ar"/>
        </w:rPr>
        <w:t> 凡符合上述奖励条件者，可将有关证明材料报送师生所在院系初审，再报学院招生就业处审核，最后由学院大学生创新创业教育工作领导小组终审。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i w:val="0"/>
          <w:caps w:val="0"/>
          <w:color w:val="auto"/>
          <w:spacing w:val="0"/>
          <w:kern w:val="0"/>
          <w:sz w:val="32"/>
          <w:szCs w:val="32"/>
          <w:shd w:val="clear" w:fill="FFFFFF"/>
          <w:lang w:val="en-US" w:eastAsia="zh-CN" w:bidi="ar"/>
        </w:rPr>
        <w:t xml:space="preserve">第十二条 </w:t>
      </w:r>
      <w:r>
        <w:rPr>
          <w:rFonts w:hint="eastAsia" w:ascii="仿宋" w:hAnsi="仿宋" w:eastAsia="仿宋" w:cs="仿宋"/>
          <w:b w:val="0"/>
          <w:i w:val="0"/>
          <w:caps w:val="0"/>
          <w:color w:val="auto"/>
          <w:spacing w:val="0"/>
          <w:kern w:val="0"/>
          <w:sz w:val="32"/>
          <w:szCs w:val="32"/>
          <w:shd w:val="clear" w:fill="FFFFFF"/>
          <w:lang w:val="en-US" w:eastAsia="zh-CN" w:bidi="ar"/>
        </w:rPr>
        <w:t>学院根据各院系创新创业类竞赛网报项目数、复赛成绩评选出或被各赛项相应组织方评定为“优秀组织奖”，给予相应部门奖金奖励（单位：元），奖励金划入部门工作经费，用于开展有关创新创业活动。</w:t>
      </w:r>
    </w:p>
    <w:tbl>
      <w:tblPr>
        <w:tblStyle w:val="5"/>
        <w:tblW w:w="87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05"/>
        <w:gridCol w:w="1782"/>
        <w:gridCol w:w="1782"/>
        <w:gridCol w:w="1782"/>
        <w:gridCol w:w="1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63" w:hRule="atLeast"/>
        </w:trPr>
        <w:tc>
          <w:tcPr>
            <w:tcW w:w="1605" w:type="dxa"/>
            <w:tcBorders>
              <w:top w:val="single" w:color="auto" w:sz="8" w:space="0"/>
              <w:left w:val="single" w:color="auto" w:sz="8" w:space="0"/>
              <w:bottom w:val="single" w:color="auto" w:sz="8" w:space="0"/>
              <w:right w:val="single" w:color="auto" w:sz="8" w:space="0"/>
              <w:tl2br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kern w:val="0"/>
                <w:sz w:val="28"/>
                <w:szCs w:val="28"/>
                <w:lang w:val="en-US" w:eastAsia="zh-CN" w:bidi="ar"/>
              </w:rPr>
              <w:t>奖金   级别</w:t>
            </w:r>
          </w:p>
        </w:tc>
        <w:tc>
          <w:tcPr>
            <w:tcW w:w="178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校级</w:t>
            </w:r>
          </w:p>
        </w:tc>
        <w:tc>
          <w:tcPr>
            <w:tcW w:w="178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市级</w:t>
            </w:r>
          </w:p>
        </w:tc>
        <w:tc>
          <w:tcPr>
            <w:tcW w:w="178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省级</w:t>
            </w:r>
          </w:p>
        </w:tc>
        <w:tc>
          <w:tcPr>
            <w:tcW w:w="17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国（部）级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605"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金额</w:t>
            </w:r>
          </w:p>
        </w:tc>
        <w:tc>
          <w:tcPr>
            <w:tcW w:w="178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1000</w:t>
            </w:r>
          </w:p>
        </w:tc>
        <w:tc>
          <w:tcPr>
            <w:tcW w:w="178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2000</w:t>
            </w:r>
          </w:p>
        </w:tc>
        <w:tc>
          <w:tcPr>
            <w:tcW w:w="1782"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lang w:val="en-US" w:eastAsia="zh-CN" w:bidi="ar"/>
              </w:rPr>
              <w:t>3000</w:t>
            </w:r>
          </w:p>
        </w:tc>
        <w:tc>
          <w:tcPr>
            <w:tcW w:w="1783" w:type="dxa"/>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jc w:val="center"/>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color w:val="auto"/>
                <w:kern w:val="0"/>
                <w:sz w:val="32"/>
                <w:szCs w:val="32"/>
                <w:lang w:val="en-US" w:eastAsia="zh-CN" w:bidi="ar"/>
              </w:rPr>
              <w:t>5000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i w:val="0"/>
          <w:caps w:val="0"/>
          <w:color w:val="auto"/>
          <w:spacing w:val="0"/>
          <w:kern w:val="0"/>
          <w:sz w:val="32"/>
          <w:szCs w:val="32"/>
          <w:shd w:val="clear" w:fill="FFFFFF"/>
          <w:lang w:val="en-US" w:eastAsia="zh-CN" w:bidi="ar"/>
        </w:rPr>
        <w:t>第十三条 </w:t>
      </w:r>
      <w:r>
        <w:rPr>
          <w:rFonts w:hint="eastAsia" w:ascii="仿宋" w:hAnsi="仿宋" w:eastAsia="仿宋" w:cs="仿宋"/>
          <w:b w:val="0"/>
          <w:i w:val="0"/>
          <w:caps w:val="0"/>
          <w:color w:val="auto"/>
          <w:spacing w:val="0"/>
          <w:kern w:val="0"/>
          <w:sz w:val="32"/>
          <w:szCs w:val="32"/>
          <w:shd w:val="clear" w:fill="FFFFFF"/>
          <w:lang w:val="en-US" w:eastAsia="zh-CN" w:bidi="ar"/>
        </w:rPr>
        <w:t> 本奖励办法以师生获得证书报送给招生就业处开始受理，并启动相应报销手续。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center"/>
        <w:textAlignment w:val="auto"/>
        <w:rPr>
          <w:rFonts w:hint="eastAsia" w:ascii="仿宋" w:hAnsi="仿宋" w:eastAsia="仿宋" w:cs="仿宋"/>
          <w:b/>
          <w:bCs/>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center"/>
        <w:textAlignment w:val="auto"/>
        <w:rPr>
          <w:rFonts w:hint="eastAsia" w:ascii="仿宋" w:hAnsi="仿宋" w:eastAsia="仿宋" w:cs="仿宋"/>
          <w:b/>
          <w:bCs/>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center"/>
        <w:textAlignment w:val="auto"/>
        <w:rPr>
          <w:rFonts w:hint="eastAsia" w:ascii="仿宋" w:hAnsi="仿宋" w:eastAsia="仿宋" w:cs="仿宋"/>
          <w:b/>
          <w:bCs/>
          <w:color w:val="auto"/>
          <w:sz w:val="32"/>
          <w:szCs w:val="32"/>
        </w:rPr>
      </w:pPr>
      <w:r>
        <w:rPr>
          <w:rFonts w:hint="eastAsia" w:ascii="仿宋" w:hAnsi="仿宋" w:eastAsia="仿宋" w:cs="仿宋"/>
          <w:b/>
          <w:bCs/>
          <w:i w:val="0"/>
          <w:caps w:val="0"/>
          <w:color w:val="auto"/>
          <w:spacing w:val="0"/>
          <w:kern w:val="0"/>
          <w:sz w:val="32"/>
          <w:szCs w:val="32"/>
          <w:shd w:val="clear" w:fill="FFFFFF"/>
          <w:lang w:val="en-US" w:eastAsia="zh-CN" w:bidi="ar"/>
        </w:rPr>
        <w:t>第四章 评委费（讲座）标准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i w:val="0"/>
          <w:caps w:val="0"/>
          <w:color w:val="auto"/>
          <w:spacing w:val="0"/>
          <w:kern w:val="0"/>
          <w:sz w:val="32"/>
          <w:szCs w:val="32"/>
          <w:shd w:val="clear" w:fill="FFFFFF"/>
          <w:lang w:val="en-US" w:eastAsia="zh-CN" w:bidi="ar"/>
        </w:rPr>
        <w:t>第十四条</w:t>
      </w:r>
      <w:r>
        <w:rPr>
          <w:rFonts w:hint="eastAsia" w:ascii="仿宋" w:hAnsi="仿宋" w:eastAsia="仿宋" w:cs="仿宋"/>
          <w:b w:val="0"/>
          <w:i w:val="0"/>
          <w:caps w:val="0"/>
          <w:color w:val="auto"/>
          <w:spacing w:val="0"/>
          <w:kern w:val="0"/>
          <w:sz w:val="32"/>
          <w:szCs w:val="32"/>
          <w:shd w:val="clear" w:fill="FFFFFF"/>
          <w:lang w:val="en-US" w:eastAsia="zh-CN" w:bidi="ar"/>
        </w:rPr>
        <w:t> 学院主办或承办创新创业赛事的评委费标准（元/人）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0"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学院主办或承办创新创业赛事的评委费标准参照《关于进一步规范市直单位考试评审等劳务费执行标准的通知》（莆财行〔2016〕84号）文件执行：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0"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（一）除列入国家级、省级重大项目外，对正高级职称的评审，专家每半天不超过1000元；其他项目的评审、论证、咨询，专家每半天不超过500元。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0"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（二）邀请校内教师担任评委，在工作日期间不得领取劳务费，在节假日期间每半天不超过250元，其他工作人员每半天不超过150元。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第十五条 创新创业类讲座嘉宾费用（元/人）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0"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创新创业类讲座嘉宾的讲座费用根据其知名程度或大学生创新创业导师级别参照《湄洲湾职业技术学院讲座管理办法》发放: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0" w:firstLineChars="200"/>
        <w:jc w:val="left"/>
        <w:textAlignment w:val="auto"/>
        <w:rPr>
          <w:rFonts w:hint="eastAsia" w:ascii="仿宋" w:hAnsi="仿宋" w:eastAsia="仿宋" w:cs="仿宋"/>
          <w:b/>
          <w:bCs/>
          <w:i w:val="0"/>
          <w:caps w:val="0"/>
          <w:color w:val="auto"/>
          <w:spacing w:val="0"/>
          <w:kern w:val="0"/>
          <w:sz w:val="32"/>
          <w:szCs w:val="32"/>
          <w:shd w:val="clear" w:fill="FFFFFF"/>
          <w:lang w:val="en-US" w:eastAsia="zh-CN" w:bidi="ar"/>
        </w:rPr>
      </w:pPr>
      <w:r>
        <w:rPr>
          <w:rFonts w:hint="default" w:ascii="仿宋" w:hAnsi="仿宋" w:eastAsia="仿宋" w:cs="仿宋"/>
          <w:b w:val="0"/>
          <w:i w:val="0"/>
          <w:caps w:val="0"/>
          <w:color w:val="auto"/>
          <w:spacing w:val="0"/>
          <w:kern w:val="0"/>
          <w:sz w:val="32"/>
          <w:szCs w:val="32"/>
          <w:shd w:val="clear" w:fill="FFFFFF"/>
          <w:lang w:val="en-US" w:eastAsia="zh-CN" w:bidi="ar"/>
        </w:rPr>
        <w:t>“</w:t>
      </w:r>
      <w:r>
        <w:rPr>
          <w:rFonts w:hint="eastAsia" w:ascii="仿宋" w:hAnsi="仿宋" w:eastAsia="仿宋" w:cs="仿宋"/>
          <w:b w:val="0"/>
          <w:i w:val="0"/>
          <w:caps w:val="0"/>
          <w:color w:val="auto"/>
          <w:spacing w:val="0"/>
          <w:kern w:val="0"/>
          <w:sz w:val="32"/>
          <w:szCs w:val="32"/>
          <w:shd w:val="clear" w:fill="FFFFFF"/>
          <w:lang w:val="en-US" w:eastAsia="zh-CN" w:bidi="ar"/>
        </w:rPr>
        <w:t>讲座酬金支付标准：院内教师开设学术讲座每场次听讲人数100人以内的，200元/场次；100人以上的，300元/场次；校外主讲人根据讲座人职称、职务及讲座的学术水平等情况一事一议确定酬金。一般情况下：副教授或相当职称人员：500-800元/场次；博导、教授或相当职称人员：800-1000元/场次。知名专家或院士视情况另定。公司企业的管理人员按企业规模、公司职务而定。</w:t>
      </w:r>
      <w:r>
        <w:rPr>
          <w:rFonts w:hint="default" w:ascii="仿宋" w:hAnsi="仿宋" w:eastAsia="仿宋" w:cs="仿宋"/>
          <w:b w:val="0"/>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jc w:val="center"/>
        <w:textAlignment w:val="auto"/>
        <w:rPr>
          <w:rFonts w:hint="eastAsia" w:ascii="仿宋" w:hAnsi="仿宋" w:eastAsia="仿宋" w:cs="仿宋"/>
          <w:b/>
          <w:bCs/>
          <w:color w:val="auto"/>
          <w:sz w:val="32"/>
          <w:szCs w:val="32"/>
        </w:rPr>
      </w:pPr>
      <w:r>
        <w:rPr>
          <w:rFonts w:hint="eastAsia" w:ascii="仿宋" w:hAnsi="仿宋" w:eastAsia="仿宋" w:cs="仿宋"/>
          <w:b/>
          <w:bCs/>
          <w:i w:val="0"/>
          <w:caps w:val="0"/>
          <w:color w:val="auto"/>
          <w:spacing w:val="0"/>
          <w:kern w:val="0"/>
          <w:sz w:val="32"/>
          <w:szCs w:val="32"/>
          <w:shd w:val="clear" w:fill="FFFFFF"/>
          <w:lang w:val="en-US" w:eastAsia="zh-CN" w:bidi="ar"/>
        </w:rPr>
        <w:t>第五章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i w:val="0"/>
          <w:caps w:val="0"/>
          <w:color w:val="auto"/>
          <w:spacing w:val="0"/>
          <w:kern w:val="0"/>
          <w:sz w:val="32"/>
          <w:szCs w:val="32"/>
          <w:shd w:val="clear" w:fill="FFFFFF"/>
          <w:lang w:val="en-US" w:eastAsia="zh-CN" w:bidi="ar"/>
        </w:rPr>
        <w:t>第十六条</w:t>
      </w:r>
      <w:r>
        <w:rPr>
          <w:rFonts w:hint="eastAsia" w:ascii="仿宋" w:hAnsi="仿宋" w:eastAsia="仿宋" w:cs="仿宋"/>
          <w:b w:val="0"/>
          <w:i w:val="0"/>
          <w:caps w:val="0"/>
          <w:color w:val="auto"/>
          <w:spacing w:val="0"/>
          <w:kern w:val="0"/>
          <w:sz w:val="32"/>
          <w:szCs w:val="32"/>
          <w:shd w:val="clear" w:fill="FFFFFF"/>
          <w:lang w:val="en-US" w:eastAsia="zh-CN" w:bidi="ar"/>
        </w:rPr>
        <w:t> 本办法自颁布之日起试行。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right="0" w:rightChars="0" w:firstLine="643" w:firstLineChars="20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i w:val="0"/>
          <w:caps w:val="0"/>
          <w:color w:val="auto"/>
          <w:spacing w:val="0"/>
          <w:kern w:val="0"/>
          <w:sz w:val="32"/>
          <w:szCs w:val="32"/>
          <w:shd w:val="clear" w:fill="FFFFFF"/>
          <w:lang w:val="en-US" w:eastAsia="zh-CN" w:bidi="ar"/>
        </w:rPr>
        <w:t>第十七条</w:t>
      </w:r>
      <w:r>
        <w:rPr>
          <w:rFonts w:hint="eastAsia" w:ascii="仿宋" w:hAnsi="仿宋" w:eastAsia="仿宋" w:cs="仿宋"/>
          <w:b w:val="0"/>
          <w:i w:val="0"/>
          <w:caps w:val="0"/>
          <w:color w:val="auto"/>
          <w:spacing w:val="0"/>
          <w:kern w:val="0"/>
          <w:sz w:val="32"/>
          <w:szCs w:val="32"/>
          <w:shd w:val="clear" w:fill="FFFFFF"/>
          <w:lang w:val="en-US" w:eastAsia="zh-CN" w:bidi="ar"/>
        </w:rPr>
        <w:t> 本办法由学院招生就业处负责解释。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lef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r>
        <w:rPr>
          <w:rFonts w:hint="eastAsia" w:ascii="仿宋" w:hAnsi="仿宋" w:eastAsia="仿宋" w:cs="仿宋"/>
          <w:b w:val="0"/>
          <w:i w:val="0"/>
          <w:caps w:val="0"/>
          <w:color w:val="auto"/>
          <w:spacing w:val="0"/>
          <w:kern w:val="0"/>
          <w:sz w:val="32"/>
          <w:szCs w:val="32"/>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i w:val="0"/>
          <w:caps w:val="0"/>
          <w:color w:val="auto"/>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ind w:right="0" w:rightChars="0"/>
        <w:jc w:val="right"/>
        <w:textAlignment w:val="auto"/>
        <w:rPr>
          <w:rFonts w:hint="eastAsia" w:ascii="仿宋" w:hAnsi="仿宋" w:eastAsia="仿宋" w:cs="仿宋"/>
          <w:b w:val="0"/>
          <w:bCs w:val="0"/>
          <w:color w:val="333333"/>
          <w:sz w:val="32"/>
          <w:szCs w:val="32"/>
          <w:shd w:val="clear" w:color="auto" w:fill="FFFFFF"/>
          <w:lang w:val="en-US" w:eastAsia="zh-CN"/>
        </w:rPr>
      </w:pPr>
      <w:r>
        <w:rPr>
          <w:rFonts w:hint="eastAsia" w:ascii="仿宋" w:hAnsi="仿宋" w:eastAsia="仿宋" w:cs="仿宋"/>
          <w:b w:val="0"/>
          <w:bCs w:val="0"/>
          <w:color w:val="333333"/>
          <w:sz w:val="32"/>
          <w:szCs w:val="32"/>
          <w:shd w:val="clear" w:color="auto" w:fill="FFFFFF"/>
          <w:lang w:val="en-US" w:eastAsia="zh-CN"/>
        </w:rPr>
        <w:t>湄洲湾职业技术学院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bCs w:val="0"/>
          <w:color w:val="333333"/>
          <w:sz w:val="32"/>
          <w:szCs w:val="32"/>
          <w:shd w:val="clear" w:color="auto" w:fill="FFFFFF"/>
          <w:lang w:val="en-US" w:eastAsia="zh-CN"/>
        </w:rPr>
      </w:pPr>
      <w:r>
        <w:rPr>
          <w:rFonts w:hint="eastAsia" w:ascii="仿宋" w:hAnsi="仿宋" w:eastAsia="仿宋" w:cs="仿宋"/>
          <w:b w:val="0"/>
          <w:bCs w:val="0"/>
          <w:color w:val="333333"/>
          <w:sz w:val="32"/>
          <w:szCs w:val="32"/>
          <w:shd w:val="clear" w:color="auto" w:fill="FFFFFF"/>
          <w:lang w:val="en-US" w:eastAsia="zh-CN"/>
        </w:rPr>
        <w:t>2018年3月19日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bCs w:val="0"/>
          <w:color w:val="333333"/>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240" w:lineRule="auto"/>
        <w:ind w:left="0" w:leftChars="0" w:right="0" w:rightChars="0" w:firstLine="560"/>
        <w:jc w:val="right"/>
        <w:textAlignment w:val="auto"/>
        <w:rPr>
          <w:rFonts w:hint="eastAsia" w:ascii="仿宋" w:hAnsi="仿宋" w:eastAsia="仿宋" w:cs="仿宋"/>
          <w:b w:val="0"/>
          <w:bCs w:val="0"/>
          <w:color w:val="333333"/>
          <w:sz w:val="32"/>
          <w:szCs w:val="32"/>
          <w:shd w:val="clear" w:color="auto" w:fill="FFFFFF"/>
          <w:lang w:val="en-US" w:eastAsia="zh-CN"/>
        </w:rPr>
      </w:pPr>
    </w:p>
    <w:p>
      <w:pPr>
        <w:spacing w:line="560" w:lineRule="exact"/>
        <w:jc w:val="both"/>
        <w:rPr>
          <w:rFonts w:hint="eastAsia" w:ascii="仿宋" w:hAnsi="仿宋" w:eastAsia="仿宋" w:cs="仿宋"/>
          <w:sz w:val="32"/>
          <w:szCs w:val="32"/>
        </w:rPr>
      </w:pPr>
    </w:p>
    <w:p>
      <w:r>
        <w:rPr>
          <w:rFonts w:hint="eastAsia" w:ascii="仿宋_GB2312" w:eastAsia="仿宋_GB2312"/>
          <w:b/>
          <w:sz w:val="32"/>
          <w:szCs w:val="32"/>
          <w:u w:val="single"/>
        </w:rPr>
        <w:t xml:space="preserve">                                                       </w:t>
      </w:r>
      <w:r>
        <w:rPr>
          <w:rFonts w:hint="eastAsia" w:ascii="仿宋_GB2312" w:eastAsia="仿宋_GB2312"/>
          <w:b/>
          <w:bCs/>
          <w:sz w:val="32"/>
          <w:szCs w:val="32"/>
          <w:u w:val="single"/>
        </w:rPr>
        <w:t xml:space="preserve"> </w:t>
      </w:r>
      <w:r>
        <w:rPr>
          <w:rFonts w:hint="eastAsia" w:ascii="仿宋_GB2312" w:eastAsia="仿宋_GB2312"/>
          <w:sz w:val="32"/>
          <w:szCs w:val="32"/>
          <w:u w:val="single"/>
        </w:rPr>
        <w:t>湄洲湾职业技术学院办公室</w:t>
      </w:r>
      <w:r>
        <w:rPr>
          <w:rFonts w:hint="eastAsia" w:ascii="仿宋_GB2312" w:eastAsia="仿宋_GB2312"/>
          <w:b/>
          <w:sz w:val="32"/>
          <w:szCs w:val="32"/>
          <w:u w:val="single"/>
        </w:rPr>
        <w:t xml:space="preserve">      </w:t>
      </w:r>
      <w:r>
        <w:rPr>
          <w:rFonts w:hint="eastAsia" w:ascii="仿宋_GB2312" w:eastAsia="仿宋_GB2312"/>
          <w:b/>
          <w:sz w:val="32"/>
          <w:szCs w:val="32"/>
          <w:u w:val="single"/>
          <w:lang w:val="en-US" w:eastAsia="zh-CN"/>
        </w:rPr>
        <w:t xml:space="preserve">  </w:t>
      </w:r>
      <w:r>
        <w:rPr>
          <w:rFonts w:hint="eastAsia" w:ascii="仿宋_GB2312" w:eastAsia="仿宋_GB2312"/>
          <w:bCs/>
          <w:sz w:val="32"/>
          <w:szCs w:val="32"/>
          <w:u w:val="single"/>
        </w:rPr>
        <w:t>201</w:t>
      </w:r>
      <w:r>
        <w:rPr>
          <w:rFonts w:hint="eastAsia" w:ascii="仿宋_GB2312" w:eastAsia="仿宋_GB2312"/>
          <w:bCs/>
          <w:sz w:val="32"/>
          <w:szCs w:val="32"/>
          <w:u w:val="single"/>
          <w:lang w:val="en-US" w:eastAsia="zh-CN"/>
        </w:rPr>
        <w:t>8</w:t>
      </w:r>
      <w:r>
        <w:rPr>
          <w:rFonts w:hint="eastAsia" w:ascii="仿宋_GB2312" w:eastAsia="仿宋_GB2312"/>
          <w:bCs/>
          <w:sz w:val="32"/>
          <w:szCs w:val="32"/>
          <w:u w:val="single"/>
        </w:rPr>
        <w:t>年</w:t>
      </w:r>
      <w:r>
        <w:rPr>
          <w:rFonts w:hint="eastAsia" w:ascii="仿宋_GB2312" w:eastAsia="仿宋_GB2312"/>
          <w:bCs/>
          <w:sz w:val="32"/>
          <w:szCs w:val="32"/>
          <w:u w:val="single"/>
          <w:lang w:val="en-US" w:eastAsia="zh-CN"/>
        </w:rPr>
        <w:t>3</w:t>
      </w:r>
      <w:r>
        <w:rPr>
          <w:rFonts w:hint="eastAsia" w:ascii="仿宋_GB2312" w:eastAsia="仿宋_GB2312"/>
          <w:bCs/>
          <w:sz w:val="32"/>
          <w:szCs w:val="32"/>
          <w:u w:val="single"/>
        </w:rPr>
        <w:t>月</w:t>
      </w:r>
      <w:r>
        <w:rPr>
          <w:rFonts w:hint="eastAsia" w:ascii="仿宋_GB2312" w:eastAsia="仿宋_GB2312"/>
          <w:bCs/>
          <w:sz w:val="32"/>
          <w:szCs w:val="32"/>
          <w:u w:val="single"/>
          <w:lang w:val="en-US" w:eastAsia="zh-CN"/>
        </w:rPr>
        <w:t>19</w:t>
      </w:r>
      <w:r>
        <w:rPr>
          <w:rFonts w:hint="eastAsia" w:ascii="仿宋_GB2312" w:eastAsia="仿宋_GB2312"/>
          <w:bCs/>
          <w:sz w:val="32"/>
          <w:szCs w:val="32"/>
          <w:u w:val="single"/>
        </w:rPr>
        <w:t xml:space="preserve">日印发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64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哈哈哈哈哈</dc:creator>
  <cp:lastModifiedBy>哈哈哈哈哈</cp:lastModifiedBy>
  <dcterms:modified xsi:type="dcterms:W3CDTF">2018-03-21T04:39:40Z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