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附件</w:t>
      </w:r>
      <w:r>
        <w:rPr>
          <w:rFonts w:hint="eastAsia" w:ascii="黑体" w:hAnsi="宋体" w:eastAsia="黑体" w:cs="宋体"/>
          <w:color w:val="000000"/>
          <w:kern w:val="0"/>
          <w:sz w:val="32"/>
          <w:szCs w:val="32"/>
          <w:lang w:val="en-US" w:eastAsia="zh-CN"/>
        </w:rPr>
        <w:t>1</w:t>
      </w:r>
    </w:p>
    <w:p>
      <w:pPr>
        <w:widowControl/>
        <w:adjustRightInd w:val="0"/>
        <w:snapToGrid w:val="0"/>
        <w:spacing w:line="580" w:lineRule="exact"/>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创意组项目评审规则</w:t>
      </w:r>
    </w:p>
    <w:p>
      <w:pPr>
        <w:widowControl/>
        <w:adjustRightInd w:val="0"/>
        <w:snapToGrid w:val="0"/>
        <w:spacing w:line="580" w:lineRule="exact"/>
        <w:jc w:val="center"/>
        <w:rPr>
          <w:rFonts w:hint="eastAsia" w:ascii="方正小标宋简体" w:hAnsi="宋体" w:eastAsia="方正小标宋简体" w:cs="宋体"/>
          <w:kern w:val="0"/>
          <w:sz w:val="36"/>
          <w:szCs w:val="36"/>
        </w:rPr>
      </w:pPr>
    </w:p>
    <w:tbl>
      <w:tblPr>
        <w:tblStyle w:val="3"/>
        <w:tblW w:w="9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18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380"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评审要点</w:t>
            </w:r>
          </w:p>
        </w:tc>
        <w:tc>
          <w:tcPr>
            <w:tcW w:w="7180"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评审内容</w:t>
            </w:r>
          </w:p>
        </w:tc>
        <w:tc>
          <w:tcPr>
            <w:tcW w:w="914" w:type="dxa"/>
            <w:shd w:val="clear" w:color="auto" w:fill="FFFFFF"/>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138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创新性</w:t>
            </w:r>
          </w:p>
        </w:tc>
        <w:tc>
          <w:tcPr>
            <w:tcW w:w="7180"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1.突出原始创意的价值，不鼓励模仿。</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2.强调利用互联网技术、方法和思维在销售、研发、生产、物流、信息、人力、管理等方面寻求突破和创新。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3.鼓励项目与高校科技成果转移转化相结合。</w:t>
            </w:r>
          </w:p>
        </w:tc>
        <w:tc>
          <w:tcPr>
            <w:tcW w:w="914" w:type="dxa"/>
            <w:shd w:val="clear" w:color="auto" w:fill="FFFFFF"/>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38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团队情况</w:t>
            </w:r>
          </w:p>
        </w:tc>
        <w:tc>
          <w:tcPr>
            <w:tcW w:w="7180"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1.考察管理团队各成员的教育和工作背景、价值观念、擅长领域，成员的分工和业务互补情况；</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2.公司的组织构架、人员配置安排是否科学；</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3.创业顾问，主要投资人和持股情况；</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4.战略合作企业及其与本项目的关系，团队是否具有实现这种突破的具体方案和可能的资源基础。</w:t>
            </w:r>
          </w:p>
        </w:tc>
        <w:tc>
          <w:tcPr>
            <w:tcW w:w="914" w:type="dxa"/>
            <w:shd w:val="clear" w:color="auto" w:fill="FFFFFF"/>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trPr>
        <w:tc>
          <w:tcPr>
            <w:tcW w:w="138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商业性</w:t>
            </w:r>
          </w:p>
        </w:tc>
        <w:tc>
          <w:tcPr>
            <w:tcW w:w="7180"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1.在商业模式方面，强调设计的完整性与可行性，完整地描述商业模式，评测其盈利能力推导过程的合理性。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2.在机会识别与利用、竞争与合作、技术基础、产品或服务设计、资金及人员需求、现行法律法规限制等方面具有可行性。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3.在调查研究方面，考察行业调查研究程度，项目市场、技术等调查工作是否形成一手资料，不鼓励文献调查，强调田野调查和实际操作检验。</w:t>
            </w:r>
          </w:p>
        </w:tc>
        <w:tc>
          <w:tcPr>
            <w:tcW w:w="914" w:type="dxa"/>
            <w:shd w:val="clear" w:color="auto" w:fill="FFFFFF"/>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带动就业前景</w:t>
            </w:r>
          </w:p>
        </w:tc>
        <w:tc>
          <w:tcPr>
            <w:tcW w:w="7180"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综合考察项目发展战略和规模扩张策略的合理性和可行性，预判项目可能带动社会就业的能力。</w:t>
            </w:r>
          </w:p>
        </w:tc>
        <w:tc>
          <w:tcPr>
            <w:tcW w:w="914" w:type="dxa"/>
            <w:shd w:val="clear" w:color="auto" w:fill="FFFFFF"/>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r>
    </w:tbl>
    <w:p>
      <w:pPr>
        <w:adjustRightInd w:val="0"/>
        <w:snapToGrid w:val="0"/>
        <w:spacing w:line="580" w:lineRule="exact"/>
        <w:ind w:firstLine="420"/>
        <w:jc w:val="center"/>
        <w:rPr>
          <w:rFonts w:hint="eastAsia" w:ascii="方正小标宋简体" w:hAnsi="宋体" w:eastAsia="方正小标宋简体" w:cs="宋体"/>
          <w:kern w:val="0"/>
          <w:sz w:val="36"/>
          <w:szCs w:val="36"/>
        </w:rPr>
      </w:pPr>
    </w:p>
    <w:p>
      <w:pPr>
        <w:adjustRightInd w:val="0"/>
        <w:snapToGrid w:val="0"/>
        <w:spacing w:line="580" w:lineRule="exact"/>
        <w:ind w:firstLine="420"/>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初创组、成长组项目评审规则</w:t>
      </w:r>
    </w:p>
    <w:p>
      <w:pPr>
        <w:adjustRightInd w:val="0"/>
        <w:snapToGrid w:val="0"/>
        <w:spacing w:line="580" w:lineRule="exact"/>
        <w:ind w:firstLine="420"/>
        <w:jc w:val="center"/>
        <w:rPr>
          <w:rFonts w:hint="eastAsia" w:ascii="方正小标宋简体" w:hAnsi="宋体" w:eastAsia="方正小标宋简体" w:cs="宋体"/>
          <w:kern w:val="0"/>
          <w:sz w:val="36"/>
          <w:szCs w:val="36"/>
        </w:rPr>
      </w:pPr>
    </w:p>
    <w:tbl>
      <w:tblPr>
        <w:tblStyle w:val="3"/>
        <w:tblW w:w="9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2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389"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评审要点</w:t>
            </w:r>
          </w:p>
        </w:tc>
        <w:tc>
          <w:tcPr>
            <w:tcW w:w="7245"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评审内容</w:t>
            </w:r>
          </w:p>
        </w:tc>
        <w:tc>
          <w:tcPr>
            <w:tcW w:w="840"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0" w:hRule="atLeast"/>
        </w:trPr>
        <w:tc>
          <w:tcPr>
            <w:tcW w:w="138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商业性</w:t>
            </w:r>
          </w:p>
        </w:tc>
        <w:tc>
          <w:tcPr>
            <w:tcW w:w="724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2.在成长性方面：重点考察项目目标市场容量大小及可扩展性以及该项目是否有合适的计划和可能性（包括人力资源、资金、技术等方面）支持其未来5年的高速成长。</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3.在商业模式方面：强调项目设计的完整性与可行性，并给出完整的商业模式描述，以及在机会识别与利用、竞争与合作、技术基础、产品或服务设计、资金及人员需求、现行法律法规限制等方面需具有可行性。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4.在融资方面：强调融资需求及资金使用规划。</w:t>
            </w:r>
          </w:p>
        </w:tc>
        <w:tc>
          <w:tcPr>
            <w:tcW w:w="84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38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团队情况</w:t>
            </w:r>
          </w:p>
        </w:tc>
        <w:tc>
          <w:tcPr>
            <w:tcW w:w="724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1.管理团队各成员有关的教育和工作背景、价值观念、擅长领域，成员的分工和业务互补情况；</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2.公司的组织构架、人员配置以及领导层成员；</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3.创业顾问，主要投资人和持股情况；</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4.战略合作企业及其与本项目的关系。</w:t>
            </w:r>
          </w:p>
        </w:tc>
        <w:tc>
          <w:tcPr>
            <w:tcW w:w="84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38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创新性</w:t>
            </w:r>
          </w:p>
        </w:tc>
        <w:tc>
          <w:tcPr>
            <w:tcW w:w="724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1.突出原始创意的价值，不鼓励模仿。</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2.强调利用互联网技术、方法、思维在销售、研发、生产、物流、信息、人力、管理等方面寻求突破和创新。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3.鼓励项目与高校科技成果转移转化相结合。</w:t>
            </w:r>
          </w:p>
        </w:tc>
        <w:tc>
          <w:tcPr>
            <w:tcW w:w="84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38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带动就业情况</w:t>
            </w:r>
          </w:p>
        </w:tc>
        <w:tc>
          <w:tcPr>
            <w:tcW w:w="724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考察项目增加社会就业份额，发展战略和扩张的策略合理性，上下产业链的密切程度和带动效率、其他社会效益。</w:t>
            </w:r>
          </w:p>
        </w:tc>
        <w:tc>
          <w:tcPr>
            <w:tcW w:w="840"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w:t>
            </w:r>
          </w:p>
        </w:tc>
      </w:tr>
    </w:tbl>
    <w:p>
      <w:pPr>
        <w:adjustRightInd w:val="0"/>
        <w:snapToGrid w:val="0"/>
        <w:spacing w:line="580" w:lineRule="exact"/>
        <w:ind w:firstLine="420"/>
        <w:rPr>
          <w:rFonts w:hint="eastAsia" w:ascii="仿宋_GB2312" w:hAnsi="仿宋_GB2312" w:eastAsia="仿宋_GB2312"/>
          <w:sz w:val="30"/>
          <w:szCs w:val="30"/>
        </w:rPr>
      </w:pPr>
      <w:r>
        <w:rPr>
          <w:rFonts w:hint="eastAsia" w:ascii="仿宋_GB2312" w:hAnsi="仿宋_GB2312" w:eastAsia="仿宋_GB2312"/>
          <w:sz w:val="30"/>
          <w:szCs w:val="30"/>
        </w:rPr>
        <w:t xml:space="preserve"> </w:t>
      </w:r>
    </w:p>
    <w:p>
      <w:pPr>
        <w:adjustRightInd w:val="0"/>
        <w:snapToGrid w:val="0"/>
        <w:spacing w:line="580" w:lineRule="exact"/>
        <w:ind w:firstLine="420"/>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就业型创业组项目评审规则</w:t>
      </w:r>
    </w:p>
    <w:p>
      <w:pPr>
        <w:adjustRightInd w:val="0"/>
        <w:snapToGrid w:val="0"/>
        <w:spacing w:line="580" w:lineRule="exact"/>
        <w:ind w:firstLine="420"/>
        <w:jc w:val="center"/>
        <w:rPr>
          <w:rFonts w:hint="eastAsia" w:ascii="方正小标宋简体" w:hAnsi="宋体" w:eastAsia="方正小标宋简体" w:cs="宋体"/>
          <w:kern w:val="0"/>
          <w:sz w:val="36"/>
          <w:szCs w:val="36"/>
        </w:rPr>
      </w:pPr>
    </w:p>
    <w:tbl>
      <w:tblPr>
        <w:tblStyle w:val="3"/>
        <w:tblW w:w="9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2124"/>
        <w:gridCol w:w="403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29"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评审要点</w:t>
            </w:r>
          </w:p>
        </w:tc>
        <w:tc>
          <w:tcPr>
            <w:tcW w:w="2124"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得分形式</w:t>
            </w:r>
          </w:p>
        </w:tc>
        <w:tc>
          <w:tcPr>
            <w:tcW w:w="4035"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评审内容</w:t>
            </w:r>
          </w:p>
        </w:tc>
        <w:tc>
          <w:tcPr>
            <w:tcW w:w="1486" w:type="dxa"/>
            <w:shd w:val="clear" w:color="auto" w:fill="FFFFFF"/>
            <w:vAlign w:val="center"/>
          </w:tcPr>
          <w:p>
            <w:pPr>
              <w:widowControl/>
              <w:adjustRightInd w:val="0"/>
              <w:snapToGrid w:val="0"/>
              <w:spacing w:line="44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2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项目团队</w:t>
            </w:r>
          </w:p>
        </w:tc>
        <w:tc>
          <w:tcPr>
            <w:tcW w:w="2124"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加总得分</w:t>
            </w:r>
          </w:p>
        </w:tc>
        <w:tc>
          <w:tcPr>
            <w:tcW w:w="403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1.团队成员互补与协调性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2.组织结构设置合理性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3.股权结构设置合理性</w:t>
            </w:r>
          </w:p>
        </w:tc>
        <w:tc>
          <w:tcPr>
            <w:tcW w:w="1486"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2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商业性</w:t>
            </w:r>
          </w:p>
        </w:tc>
        <w:tc>
          <w:tcPr>
            <w:tcW w:w="2124"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加总得分</w:t>
            </w:r>
          </w:p>
        </w:tc>
        <w:tc>
          <w:tcPr>
            <w:tcW w:w="403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1.生存性和盈利能力</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2.可行性和完整性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3.可复制性</w:t>
            </w:r>
          </w:p>
        </w:tc>
        <w:tc>
          <w:tcPr>
            <w:tcW w:w="1486"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2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创新性</w:t>
            </w:r>
          </w:p>
        </w:tc>
        <w:tc>
          <w:tcPr>
            <w:tcW w:w="2124"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单项得分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（满足任一单项得满分）</w:t>
            </w:r>
          </w:p>
        </w:tc>
        <w:tc>
          <w:tcPr>
            <w:tcW w:w="403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岗位创新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技能创新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技术创新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产业协同创新</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模式创新</w:t>
            </w:r>
          </w:p>
        </w:tc>
        <w:tc>
          <w:tcPr>
            <w:tcW w:w="1486"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829"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带动就业</w:t>
            </w:r>
          </w:p>
        </w:tc>
        <w:tc>
          <w:tcPr>
            <w:tcW w:w="2124"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加总得分</w:t>
            </w:r>
          </w:p>
        </w:tc>
        <w:tc>
          <w:tcPr>
            <w:tcW w:w="4035" w:type="dxa"/>
            <w:shd w:val="clear" w:color="auto" w:fill="FFFFFF"/>
            <w:vAlign w:val="center"/>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与当地经济发展紧密结合，促进区域社会经济转型升级</w:t>
            </w:r>
          </w:p>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带动就业人数</w:t>
            </w:r>
          </w:p>
        </w:tc>
        <w:tc>
          <w:tcPr>
            <w:tcW w:w="1486" w:type="dxa"/>
            <w:shd w:val="clear" w:color="auto" w:fill="FFFFFF"/>
            <w:vAlign w:val="center"/>
          </w:tcPr>
          <w:p>
            <w:pPr>
              <w:widowControl/>
              <w:adjustRightInd w:val="0"/>
              <w:snapToGrid w:val="0"/>
              <w:spacing w:line="44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474" w:type="dxa"/>
            <w:gridSpan w:val="4"/>
            <w:shd w:val="clear" w:color="auto" w:fill="auto"/>
            <w:vAlign w:val="bottom"/>
          </w:tcPr>
          <w:p>
            <w:pPr>
              <w:widowControl/>
              <w:adjustRightInd w:val="0"/>
              <w:snapToGrid w:val="0"/>
              <w:spacing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评分标准</w:t>
            </w:r>
            <w:r>
              <w:rPr>
                <w:rFonts w:hint="eastAsia" w:ascii="仿宋" w:hAnsi="仿宋" w:eastAsia="仿宋" w:cs="仿宋"/>
                <w:b/>
                <w:bCs/>
                <w:kern w:val="0"/>
                <w:sz w:val="28"/>
                <w:szCs w:val="28"/>
              </w:rPr>
              <w:t>：</w:t>
            </w:r>
            <w:r>
              <w:rPr>
                <w:rFonts w:hint="eastAsia" w:ascii="仿宋" w:hAnsi="仿宋" w:eastAsia="仿宋" w:cs="仿宋"/>
                <w:kern w:val="0"/>
                <w:sz w:val="28"/>
                <w:szCs w:val="28"/>
              </w:rPr>
              <w:t>优秀：100-85分，良好：85-70分，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xml:space="preserve">          一般：70-55分， 差：55-0分。</w:t>
            </w:r>
          </w:p>
        </w:tc>
      </w:tr>
    </w:tbl>
    <w:p>
      <w:pPr>
        <w:keepNext w:val="0"/>
        <w:keepLines w:val="0"/>
        <w:pageBreakBefore w:val="0"/>
        <w:kinsoku/>
        <w:wordWrap/>
        <w:overflowPunct/>
        <w:topLinePunct w:val="0"/>
        <w:autoSpaceDE/>
        <w:autoSpaceDN/>
        <w:bidi w:val="0"/>
        <w:ind w:right="0" w:rightChars="0" w:firstLine="560" w:firstLineChars="200"/>
        <w:jc w:val="both"/>
        <w:textAlignment w:val="auto"/>
        <w:rPr>
          <w:rFonts w:hint="eastAsia" w:ascii="宋体" w:hAnsi="宋体" w:cs="宋体"/>
          <w:b w:val="0"/>
          <w:bCs w:val="0"/>
          <w:color w:val="333333"/>
          <w:sz w:val="28"/>
          <w:szCs w:val="28"/>
          <w:shd w:val="clear" w:color="auto"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E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哈哈哈哈哈</dc:creator>
  <cp:lastModifiedBy>哈哈哈哈哈</cp:lastModifiedBy>
  <dcterms:modified xsi:type="dcterms:W3CDTF">2018-03-21T04:38:17Z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